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6E1AF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4716E1B0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716E1B1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4F1728" w:rsidRPr="00237530">
        <w:rPr>
          <w:b/>
          <w:szCs w:val="24"/>
        </w:rPr>
        <w:t xml:space="preserve">DĖL </w:t>
      </w:r>
      <w:r w:rsidR="004F1728" w:rsidRPr="00F85883">
        <w:rPr>
          <w:b/>
          <w:szCs w:val="24"/>
        </w:rPr>
        <w:t>ROKIŠKIO RAJONO SAVIVALDYBĖS TIKSLINĖS PASKIRTIES LĖŠŲ NAUDOJIMO EUROPOS IR KITŲ FONDŲ PROJEKTŲ DALINIAM FINANSAVIMUI TVARKOS APRAŠ</w:t>
      </w:r>
      <w:r w:rsidR="004F1728">
        <w:rPr>
          <w:b/>
          <w:szCs w:val="24"/>
        </w:rPr>
        <w:t>O PATVIRTINIMO</w:t>
      </w:r>
      <w:r w:rsidR="0009587A" w:rsidRPr="001C2ACB">
        <w:rPr>
          <w:b/>
          <w:lang w:eastAsia="lt-LT"/>
        </w:rPr>
        <w:t>.</w:t>
      </w:r>
    </w:p>
    <w:p w14:paraId="4716E1B2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4F1728" w:rsidRPr="00FB240F">
        <w:rPr>
          <w:szCs w:val="24"/>
        </w:rPr>
        <w:t>Strateginio planavimo ir investicijų skyriaus vedėja Jurgita Blaževičiūtė</w:t>
      </w:r>
      <w:r w:rsidR="0009587A">
        <w:rPr>
          <w:szCs w:val="24"/>
        </w:rPr>
        <w:t>.</w:t>
      </w:r>
    </w:p>
    <w:p w14:paraId="4716E1B3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716E1B4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4716E1B5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4716E1B6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4716E1B7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4716E1BD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716E1B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4716E1B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4716E1BA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716E1B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716E1B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4716E1C3" w14:textId="77777777" w:rsidTr="00C224F1">
        <w:trPr>
          <w:trHeight w:val="23"/>
        </w:trPr>
        <w:tc>
          <w:tcPr>
            <w:tcW w:w="588" w:type="dxa"/>
          </w:tcPr>
          <w:p w14:paraId="4716E1B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4716E1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4716E1C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4716E1C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4716E1C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4716E1CC" w14:textId="77777777" w:rsidTr="00C224F1">
        <w:trPr>
          <w:trHeight w:val="23"/>
        </w:trPr>
        <w:tc>
          <w:tcPr>
            <w:tcW w:w="588" w:type="dxa"/>
          </w:tcPr>
          <w:p w14:paraId="4716E1C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4716E1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4716E1C6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4716E1C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716E1C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716E1C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1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1C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1D3" w14:textId="77777777" w:rsidTr="00C224F1">
        <w:trPr>
          <w:trHeight w:val="23"/>
        </w:trPr>
        <w:tc>
          <w:tcPr>
            <w:tcW w:w="588" w:type="dxa"/>
          </w:tcPr>
          <w:p w14:paraId="4716E1CD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4716E1C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716E1CF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716E1D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1D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1D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1DA" w14:textId="77777777" w:rsidTr="00C224F1">
        <w:trPr>
          <w:trHeight w:val="23"/>
        </w:trPr>
        <w:tc>
          <w:tcPr>
            <w:tcW w:w="588" w:type="dxa"/>
          </w:tcPr>
          <w:p w14:paraId="4716E1D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4716E1D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kontroliuojančio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(prižiūrinčio) subjekto</w:t>
            </w:r>
          </w:p>
        </w:tc>
        <w:tc>
          <w:tcPr>
            <w:tcW w:w="2751" w:type="dxa"/>
          </w:tcPr>
          <w:p w14:paraId="4716E1D6" w14:textId="77777777" w:rsidR="00011556" w:rsidRPr="00B0702F" w:rsidRDefault="00810DDA" w:rsidP="00B070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Sprendimą dėl </w:t>
            </w:r>
            <w:r w:rsidR="00B0702F" w:rsidRPr="00B0702F">
              <w:rPr>
                <w:rFonts w:cs="Times New Roman"/>
                <w:sz w:val="22"/>
              </w:rPr>
              <w:t>lėšų skyrimo pateiktoms paraiškoms finansuoti priima savivaldybės administracijos direktorius</w:t>
            </w:r>
            <w:r w:rsidRPr="00B0702F">
              <w:rPr>
                <w:sz w:val="22"/>
              </w:rPr>
              <w:t xml:space="preserve">, atsižvelgdamas į </w:t>
            </w:r>
            <w:r w:rsidR="00B0702F" w:rsidRPr="00B0702F">
              <w:rPr>
                <w:rFonts w:cs="Times New Roman"/>
                <w:sz w:val="22"/>
              </w:rPr>
              <w:t>Komisijos siūlymus</w:t>
            </w:r>
            <w:r w:rsidR="00DE352F" w:rsidRPr="00B0702F">
              <w:rPr>
                <w:sz w:val="22"/>
              </w:rPr>
              <w:t xml:space="preserve">. </w:t>
            </w:r>
            <w:r w:rsidR="004A34A0" w:rsidRPr="00B0702F">
              <w:rPr>
                <w:rFonts w:eastAsia="Times New Roman" w:cs="Times New Roman"/>
                <w:sz w:val="22"/>
                <w:lang w:eastAsia="lt-LT"/>
              </w:rPr>
              <w:t>Lėšų naudojimo teisėtumą kontroliuoja</w:t>
            </w:r>
            <w:r w:rsidR="001C2ACB" w:rsidRPr="00B0702F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4A34A0" w:rsidRPr="00B0702F">
              <w:rPr>
                <w:rFonts w:eastAsia="Times New Roman" w:cs="Times New Roman"/>
                <w:sz w:val="22"/>
                <w:lang w:eastAsia="lt-LT"/>
              </w:rPr>
              <w:t>Savivaldybės kontrolierius ir valstybės kontrolė.</w:t>
            </w:r>
            <w:r w:rsidR="00714149" w:rsidRPr="00B0702F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714149" w:rsidRPr="00B0702F"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administracinę priežiūrą atlieka Lietuvos Respublikos Vyriausybės atstovas.</w:t>
            </w:r>
          </w:p>
        </w:tc>
        <w:tc>
          <w:tcPr>
            <w:tcW w:w="2182" w:type="dxa"/>
          </w:tcPr>
          <w:p w14:paraId="4716E1D7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4716E1D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1D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1E1" w14:textId="77777777" w:rsidTr="00C224F1">
        <w:trPr>
          <w:trHeight w:val="23"/>
        </w:trPr>
        <w:tc>
          <w:tcPr>
            <w:tcW w:w="588" w:type="dxa"/>
          </w:tcPr>
          <w:p w14:paraId="4716E1D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4716E1D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4716E1DD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4716E1D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1D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1E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1E8" w14:textId="77777777" w:rsidTr="00C224F1">
        <w:trPr>
          <w:trHeight w:val="23"/>
        </w:trPr>
        <w:tc>
          <w:tcPr>
            <w:tcW w:w="588" w:type="dxa"/>
          </w:tcPr>
          <w:p w14:paraId="4716E1E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4716E1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4716E1E4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4716E1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1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1E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1EF" w14:textId="77777777" w:rsidTr="00C224F1">
        <w:trPr>
          <w:trHeight w:val="23"/>
        </w:trPr>
        <w:tc>
          <w:tcPr>
            <w:tcW w:w="588" w:type="dxa"/>
          </w:tcPr>
          <w:p w14:paraId="4716E1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4716E1EA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4716E1EB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4716E1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1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1E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1F6" w14:textId="77777777" w:rsidTr="00C224F1">
        <w:trPr>
          <w:trHeight w:val="492"/>
        </w:trPr>
        <w:tc>
          <w:tcPr>
            <w:tcW w:w="588" w:type="dxa"/>
          </w:tcPr>
          <w:p w14:paraId="4716E1F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4716E1F1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4716E1F2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4716E1F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1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1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1FD" w14:textId="77777777" w:rsidTr="00C224F1">
        <w:trPr>
          <w:trHeight w:val="23"/>
        </w:trPr>
        <w:tc>
          <w:tcPr>
            <w:tcW w:w="588" w:type="dxa"/>
          </w:tcPr>
          <w:p w14:paraId="4716E1F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716E1F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716E1F9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4716E1F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1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1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0A" w14:textId="77777777" w:rsidTr="00C224F1">
        <w:trPr>
          <w:trHeight w:val="23"/>
        </w:trPr>
        <w:tc>
          <w:tcPr>
            <w:tcW w:w="588" w:type="dxa"/>
          </w:tcPr>
          <w:p w14:paraId="4716E1F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4716E1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4716E200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4716E20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valstybės interesams ir kolegialaus sprendimus priimančio subjekto veiklos objektyvumą ir skaidrumą;</w:t>
            </w:r>
          </w:p>
          <w:p w14:paraId="4716E2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4716E20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4716E2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4716E2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4716E206" w14:textId="77777777" w:rsidR="00011556" w:rsidRPr="00810DDA" w:rsidRDefault="00810DDA" w:rsidP="00B0702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10DDA">
              <w:rPr>
                <w:sz w:val="22"/>
              </w:rPr>
              <w:lastRenderedPageBreak/>
              <w:t xml:space="preserve">Sprendimą dėl </w:t>
            </w:r>
            <w:r w:rsidR="00B0702F">
              <w:rPr>
                <w:sz w:val="22"/>
              </w:rPr>
              <w:t>paraiškų</w:t>
            </w:r>
            <w:r w:rsidRPr="00810DDA">
              <w:rPr>
                <w:sz w:val="22"/>
              </w:rPr>
              <w:t xml:space="preserve"> finansavimo priima Savivaldybės administracijos direktorius</w:t>
            </w:r>
          </w:p>
        </w:tc>
        <w:tc>
          <w:tcPr>
            <w:tcW w:w="2182" w:type="dxa"/>
          </w:tcPr>
          <w:p w14:paraId="4716E2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11" w14:textId="77777777" w:rsidTr="00C224F1">
        <w:trPr>
          <w:trHeight w:val="23"/>
        </w:trPr>
        <w:tc>
          <w:tcPr>
            <w:tcW w:w="588" w:type="dxa"/>
          </w:tcPr>
          <w:p w14:paraId="4716E20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4716E20C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4716E20D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4716E20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18" w14:textId="77777777" w:rsidTr="00C224F1">
        <w:trPr>
          <w:trHeight w:val="23"/>
        </w:trPr>
        <w:tc>
          <w:tcPr>
            <w:tcW w:w="588" w:type="dxa"/>
          </w:tcPr>
          <w:p w14:paraId="4716E21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4716E213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4716E214" w14:textId="77777777" w:rsidR="00011556" w:rsidRPr="00B0702F" w:rsidRDefault="001C2ACB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4716E21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1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1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1F" w14:textId="77777777" w:rsidTr="00C224F1">
        <w:trPr>
          <w:trHeight w:val="23"/>
        </w:trPr>
        <w:tc>
          <w:tcPr>
            <w:tcW w:w="588" w:type="dxa"/>
          </w:tcPr>
          <w:p w14:paraId="4716E21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4716E21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4716E21B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4716E21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26" w14:textId="77777777" w:rsidTr="00C224F1">
        <w:trPr>
          <w:trHeight w:val="23"/>
        </w:trPr>
        <w:tc>
          <w:tcPr>
            <w:tcW w:w="588" w:type="dxa"/>
          </w:tcPr>
          <w:p w14:paraId="4716E22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716E2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716E222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4716E2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4716E22D" w14:textId="77777777" w:rsidTr="00C224F1">
        <w:trPr>
          <w:trHeight w:val="23"/>
        </w:trPr>
        <w:tc>
          <w:tcPr>
            <w:tcW w:w="588" w:type="dxa"/>
          </w:tcPr>
          <w:p w14:paraId="4716E227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716E228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4716E229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716E22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2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2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34" w14:textId="77777777" w:rsidTr="00C224F1">
        <w:trPr>
          <w:trHeight w:val="23"/>
        </w:trPr>
        <w:tc>
          <w:tcPr>
            <w:tcW w:w="588" w:type="dxa"/>
          </w:tcPr>
          <w:p w14:paraId="4716E22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4716E22F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</w:t>
            </w:r>
            <w:r w:rsidRPr="00C224F1">
              <w:rPr>
                <w:sz w:val="22"/>
                <w:lang w:eastAsia="lt-LT"/>
              </w:rPr>
              <w:lastRenderedPageBreak/>
              <w:t xml:space="preserve">užtikrinimo priemonės </w:t>
            </w:r>
          </w:p>
        </w:tc>
        <w:tc>
          <w:tcPr>
            <w:tcW w:w="2751" w:type="dxa"/>
          </w:tcPr>
          <w:p w14:paraId="4716E230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Kontrolės (priežiūros) skaidrumo ir objektyvumo užtikrinimo priemonės nenustatytos. Kontrolę </w:t>
            </w:r>
            <w:r w:rsidRPr="00B0702F">
              <w:rPr>
                <w:sz w:val="22"/>
              </w:rPr>
              <w:lastRenderedPageBreak/>
              <w:t>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716E2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3B" w14:textId="77777777" w:rsidTr="00C224F1">
        <w:trPr>
          <w:trHeight w:val="23"/>
        </w:trPr>
        <w:tc>
          <w:tcPr>
            <w:tcW w:w="588" w:type="dxa"/>
          </w:tcPr>
          <w:p w14:paraId="4716E23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4716E236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716E237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4716E23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42" w14:textId="77777777" w:rsidTr="00C224F1">
        <w:trPr>
          <w:trHeight w:val="23"/>
        </w:trPr>
        <w:tc>
          <w:tcPr>
            <w:tcW w:w="588" w:type="dxa"/>
          </w:tcPr>
          <w:p w14:paraId="4716E23C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4716E23D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4716E23E" w14:textId="77777777" w:rsidR="00011556" w:rsidRPr="00B0702F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4716E23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4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4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49" w14:textId="77777777" w:rsidTr="00C224F1">
        <w:trPr>
          <w:trHeight w:val="23"/>
        </w:trPr>
        <w:tc>
          <w:tcPr>
            <w:tcW w:w="588" w:type="dxa"/>
          </w:tcPr>
          <w:p w14:paraId="4716E24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16E244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716E245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4716E24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16E250" w14:textId="77777777" w:rsidTr="00C224F1">
        <w:trPr>
          <w:trHeight w:val="23"/>
        </w:trPr>
        <w:tc>
          <w:tcPr>
            <w:tcW w:w="588" w:type="dxa"/>
          </w:tcPr>
          <w:p w14:paraId="4716E24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4716E2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4716E24C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716E24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16E24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16E2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4716E251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4716E25A" w14:textId="77777777" w:rsidTr="00D0108A">
        <w:trPr>
          <w:trHeight w:val="23"/>
        </w:trPr>
        <w:tc>
          <w:tcPr>
            <w:tcW w:w="2457" w:type="dxa"/>
          </w:tcPr>
          <w:p w14:paraId="4716E2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16E2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716E254" w14:textId="77777777" w:rsidR="00011556" w:rsidRPr="00810DDA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16E255" w14:textId="77777777" w:rsidR="00B54B87" w:rsidRPr="00B0702F" w:rsidRDefault="00B0702F" w:rsidP="001C2ACB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0702F">
              <w:rPr>
                <w:sz w:val="22"/>
              </w:rPr>
              <w:t>Strateginio planavimo ir investicijų skyriaus vedėja Jurgita Blaževičiūtė</w:t>
            </w:r>
          </w:p>
        </w:tc>
        <w:tc>
          <w:tcPr>
            <w:tcW w:w="2434" w:type="dxa"/>
          </w:tcPr>
          <w:p w14:paraId="4716E2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16E25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4716E25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16E259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4716E25F" w14:textId="77777777" w:rsidTr="00D0108A">
        <w:trPr>
          <w:trHeight w:val="23"/>
        </w:trPr>
        <w:tc>
          <w:tcPr>
            <w:tcW w:w="2457" w:type="dxa"/>
          </w:tcPr>
          <w:p w14:paraId="4716E25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4716E25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4716E25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716E25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4716E267" w14:textId="77777777" w:rsidTr="00D0108A">
        <w:trPr>
          <w:trHeight w:val="23"/>
        </w:trPr>
        <w:tc>
          <w:tcPr>
            <w:tcW w:w="2457" w:type="dxa"/>
          </w:tcPr>
          <w:p w14:paraId="4716E2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16E2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716E262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4716E263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4716E26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4716E26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4716E266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B0702F">
              <w:rPr>
                <w:rFonts w:eastAsia="Times New Roman" w:cs="Times New Roman"/>
                <w:sz w:val="22"/>
                <w:lang w:eastAsia="lt-LT"/>
              </w:rPr>
              <w:t>2023-04-17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4716E26C" w14:textId="77777777" w:rsidTr="00D0108A">
        <w:trPr>
          <w:trHeight w:val="23"/>
        </w:trPr>
        <w:tc>
          <w:tcPr>
            <w:tcW w:w="2457" w:type="dxa"/>
          </w:tcPr>
          <w:p w14:paraId="4716E2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4716E269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4716E26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716E26B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4716E26D" w14:textId="77777777" w:rsidR="00AC37BC" w:rsidRDefault="00AC37BC" w:rsidP="0084234F">
      <w:pPr>
        <w:jc w:val="center"/>
      </w:pPr>
    </w:p>
    <w:sectPr w:rsidR="00AC37BC" w:rsidSect="00CC5AE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FBC49" w14:textId="77777777" w:rsidR="00184AA1" w:rsidRDefault="00184AA1" w:rsidP="00011556">
      <w:pPr>
        <w:spacing w:after="0" w:line="240" w:lineRule="auto"/>
      </w:pPr>
      <w:r>
        <w:separator/>
      </w:r>
    </w:p>
  </w:endnote>
  <w:endnote w:type="continuationSeparator" w:id="0">
    <w:p w14:paraId="390E6C9B" w14:textId="77777777" w:rsidR="00184AA1" w:rsidRDefault="00184AA1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959C7" w14:textId="77777777" w:rsidR="00184AA1" w:rsidRDefault="00184AA1" w:rsidP="00011556">
      <w:pPr>
        <w:spacing w:after="0" w:line="240" w:lineRule="auto"/>
      </w:pPr>
      <w:r>
        <w:separator/>
      </w:r>
    </w:p>
  </w:footnote>
  <w:footnote w:type="continuationSeparator" w:id="0">
    <w:p w14:paraId="39EDD72C" w14:textId="77777777" w:rsidR="00184AA1" w:rsidRDefault="00184AA1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184AA1"/>
    <w:rsid w:val="00186256"/>
    <w:rsid w:val="00197535"/>
    <w:rsid w:val="001C1E81"/>
    <w:rsid w:val="001C2ACB"/>
    <w:rsid w:val="001C4716"/>
    <w:rsid w:val="001C5323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450999"/>
    <w:rsid w:val="00481571"/>
    <w:rsid w:val="00487FAB"/>
    <w:rsid w:val="004A34A0"/>
    <w:rsid w:val="004A726D"/>
    <w:rsid w:val="004F1728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707F30"/>
    <w:rsid w:val="00714149"/>
    <w:rsid w:val="0076243D"/>
    <w:rsid w:val="00777FAE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78A"/>
    <w:rsid w:val="009E4910"/>
    <w:rsid w:val="00A30F9C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224F1"/>
    <w:rsid w:val="00C43F54"/>
    <w:rsid w:val="00C52EE5"/>
    <w:rsid w:val="00CA5F80"/>
    <w:rsid w:val="00CC5AE1"/>
    <w:rsid w:val="00CD46E3"/>
    <w:rsid w:val="00CF576B"/>
    <w:rsid w:val="00D07258"/>
    <w:rsid w:val="00D43BF1"/>
    <w:rsid w:val="00D52440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E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3889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2023-04-20T10:49:00Z</dcterms:created>
  <dcterms:modified xsi:type="dcterms:W3CDTF">2023-04-20T10:51:00Z</dcterms:modified>
</cp:coreProperties>
</file>